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29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29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29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29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</w:p>
    <w:p>
      <w:pPr>
        <w:tabs>
          <w:tab w:val="left" w:pos="2295"/>
          <w:tab w:val="center" w:pos="4153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295"/>
          <w:tab w:val="center" w:pos="4153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平龙教体〔20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关于石龙区独立工矿区综合文体科技艺术中心建设项目实施方案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区发改委: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为了增强发展壮大石龙区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文化体育事业，弘扬科技创新精神，提升艺术素养，提高城市品味，特向上级部门申请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独立工矿区综合文体科技艺术中心实施方案。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立足石龙区教育文化和体育事业发展实际，利用石龙区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快速通道与和谐路交叉口，原棚改房龙安苑地块约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</w:rPr>
        <w:t>亩建设文体科技艺术中心，同时配套建设必要设施。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主要建设内容：</w:t>
      </w:r>
      <w:r>
        <w:rPr>
          <w:rFonts w:hint="eastAsia" w:ascii="仿宋" w:hAnsi="仿宋" w:eastAsia="仿宋" w:cs="仿宋"/>
          <w:sz w:val="32"/>
          <w:szCs w:val="32"/>
        </w:rPr>
        <w:t>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 w:cs="仿宋"/>
          <w:sz w:val="32"/>
          <w:szCs w:val="32"/>
        </w:rPr>
        <w:t>亩左右，建筑面积约2.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万平方米，可以容纳5000人的综合性文化体育科技场馆及艺术活动中心。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项目计划总投资15000万元。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拟申请2019年度专项</w:t>
      </w:r>
      <w:r>
        <w:rPr>
          <w:rFonts w:hint="eastAsia" w:ascii="仿宋" w:hAnsi="仿宋" w:eastAsia="仿宋" w:cs="仿宋"/>
          <w:sz w:val="32"/>
          <w:szCs w:val="32"/>
        </w:rPr>
        <w:t>债资金15000万元。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建设工期计划：</w:t>
      </w:r>
      <w:r>
        <w:rPr>
          <w:rFonts w:hint="eastAsia" w:ascii="仿宋" w:hAnsi="仿宋" w:eastAsia="仿宋" w:cs="仿宋"/>
          <w:sz w:val="32"/>
          <w:szCs w:val="32"/>
        </w:rPr>
        <w:t>2020年3月至2023年3月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建设工期3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年：全面对社会开放，切实提高公共文化体育服务设施综合利用率。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建设的必要性：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石龙区已将提升公共文化体育普及型作业重要民生工程，纳入我区国民经济和社会发展规划、城乡建设规划和土地利用规划。加快完成我区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文体科技艺术中心，势在必行。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石龙区教育体育局办公室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1B1"/>
    <w:rsid w:val="00337090"/>
    <w:rsid w:val="003D0FAF"/>
    <w:rsid w:val="00623DD5"/>
    <w:rsid w:val="00792099"/>
    <w:rsid w:val="00942B52"/>
    <w:rsid w:val="00A8040A"/>
    <w:rsid w:val="00AD2B8A"/>
    <w:rsid w:val="00D536E3"/>
    <w:rsid w:val="00DC51B1"/>
    <w:rsid w:val="02384948"/>
    <w:rsid w:val="05985A73"/>
    <w:rsid w:val="05BE602F"/>
    <w:rsid w:val="0E506DBE"/>
    <w:rsid w:val="10264B19"/>
    <w:rsid w:val="115800B1"/>
    <w:rsid w:val="1A0C27C7"/>
    <w:rsid w:val="1B417A87"/>
    <w:rsid w:val="1DBE1D5E"/>
    <w:rsid w:val="27CD5785"/>
    <w:rsid w:val="2C657B8C"/>
    <w:rsid w:val="31105734"/>
    <w:rsid w:val="31AB7F49"/>
    <w:rsid w:val="37A5338A"/>
    <w:rsid w:val="3B61093B"/>
    <w:rsid w:val="3F2D3AB2"/>
    <w:rsid w:val="41DA09A0"/>
    <w:rsid w:val="42245B93"/>
    <w:rsid w:val="475D19F7"/>
    <w:rsid w:val="4BE54056"/>
    <w:rsid w:val="4C9E57AA"/>
    <w:rsid w:val="50B43758"/>
    <w:rsid w:val="50C84B04"/>
    <w:rsid w:val="53FD45E6"/>
    <w:rsid w:val="578D3D68"/>
    <w:rsid w:val="66677C6D"/>
    <w:rsid w:val="69452A17"/>
    <w:rsid w:val="6C240E33"/>
    <w:rsid w:val="6E665C1D"/>
    <w:rsid w:val="709A2344"/>
    <w:rsid w:val="77A42DAB"/>
    <w:rsid w:val="7D4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427</Characters>
  <Lines>3</Lines>
  <Paragraphs>1</Paragraphs>
  <TotalTime>9</TotalTime>
  <ScaleCrop>false</ScaleCrop>
  <LinksUpToDate>false</LinksUpToDate>
  <CharactersWithSpaces>500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2014-10-29T04:08:00Z</dcterms:created>
  <dc:creator>Administrator</dc:creator>
  <cp:lastModifiedBy>Administrator</cp:lastModifiedBy>
  <cp:lastPrinted>2020-06-08T01:49:23Z</cp:lastPrinted>
  <dcterms:modified xsi:type="dcterms:W3CDTF">2020-06-08T01:50:20Z</dcterms:modified>
  <dc:title>Administrator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